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LEI N°5.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026</w:t>
      </w:r>
      <w:r>
        <w:rPr>
          <w:rFonts w:cs="Times New Roman" w:ascii="Times New Roman" w:hAnsi="Times New Roman"/>
          <w:sz w:val="24"/>
          <w:szCs w:val="24"/>
        </w:rPr>
        <w:t xml:space="preserve">/2021 DE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JULHO.</w:t>
      </w:r>
    </w:p>
    <w:p>
      <w:pPr>
        <w:pStyle w:val="Normal"/>
        <w:spacing w:lineRule="auto" w:line="240" w:before="0" w:after="0"/>
        <w:ind w:left="4248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Corpodotextorecuado"/>
        <w:spacing w:lineRule="auto" w:line="240" w:before="0" w:after="0"/>
        <w:ind w:left="4253" w:hanging="0"/>
        <w:jc w:val="both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Autoriza o Poder Executivo abrir Crédito Especial.</w:t>
      </w:r>
    </w:p>
    <w:p>
      <w:pPr>
        <w:pStyle w:val="Corpodotextorecuado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Prefeito de Santa Bárbara do Sul, Estado do Rio Grande do Sul, faz saber que a Câmara Municipal aprovou e ele sanciona com base no art. 64 da Lei Orgânica Municipal a seguinte Lei: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1.º Fica autorizado o Poder Executivo Municipal a abrir Crédito Especial no valor global de </w:t>
      </w:r>
      <w:r>
        <w:rPr>
          <w:rFonts w:ascii="Times New Roman" w:hAnsi="Times New Roman"/>
          <w:b/>
          <w:bCs/>
          <w:sz w:val="24"/>
          <w:szCs w:val="24"/>
        </w:rPr>
        <w:t>R$ 172.596.62</w:t>
      </w:r>
      <w:r>
        <w:rPr>
          <w:rFonts w:ascii="Times New Roman" w:hAnsi="Times New Roman"/>
          <w:sz w:val="24"/>
          <w:szCs w:val="24"/>
        </w:rPr>
        <w:t xml:space="preserve"> (cento e setenta e dois mil, quinhentos e noventa e seis reais e sessenta e dois centavos) nas seguintes rubricas e especificações:</w:t>
      </w:r>
    </w:p>
    <w:p>
      <w:pPr>
        <w:pStyle w:val="Corpodotexto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52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246"/>
        <w:gridCol w:w="1273"/>
      </w:tblGrid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05 - Secretaria Municipal de Educação, Cultura, Desporto e Lazer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0503.1203060028 2.032 Alimentação Escolar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3390.30.00.00.00 Material de Consumo – Rec. 1001 - PNAE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39.847,87</w:t>
            </w:r>
          </w:p>
        </w:tc>
      </w:tr>
      <w:tr>
        <w:trPr>
          <w:trHeight w:val="105" w:hRule="exac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06 – Secretaria Municipal de Obras, Viação, Habitação e Serviços Públicos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0606.0601820023 2.054 Manutenção Ações do Fundo da Defesa Civil - FUNDEC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3390.30.00.00.00 Material de Consumo – Rec. 1137 - FUNDEC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15.000,00</w:t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3394.32.00.00.00 Material. Bem ou Serviço para Distribuição Gratuita – Rec. 1137 - FUNDEC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20.216,27</w:t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3390.39.00.00.00 Outros Serviços de Terceiros – Pessoa Jurídica – Rec. 1137 - FUNDEC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15.000,00</w:t>
            </w:r>
          </w:p>
        </w:tc>
      </w:tr>
      <w:tr>
        <w:trPr>
          <w:trHeight w:val="105" w:hRule="exac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07 - Secretaria Municipal de Agricultura e Meio Ambiente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0702.1805420010 2.016 Manutenção Ações do Fundo Municipal do Meio Ambiente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3390.30.00.00.00 Material de Consumo – Rec. 1036 - Fundo Mun. do Meio Ambiente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15.619,99</w:t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3390.39.00.00.00 Outros Serviços de Terceiros – Pessoa Jurídica – Rec. 1036 - Fundo Mun. do Meio Ambiente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15.000,00</w:t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4490.52.00.00.00 Equipamentos e Material Permanente – Rec. 1036 - Fundo Mun. do Meio Ambiente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25.000,00</w:t>
            </w:r>
          </w:p>
        </w:tc>
      </w:tr>
      <w:tr>
        <w:trPr>
          <w:trHeight w:val="112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09 – Secretaria Municipal da Saúde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0901.1003010107 2.079 Manutenção do PMAQ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3390.30.00.00.00 Material de Consumo – Rec. – 4500.09 – FMS PMAQ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12.268,42</w:t>
            </w:r>
          </w:p>
        </w:tc>
      </w:tr>
      <w:tr>
        <w:trPr>
          <w:trHeight w:val="165" w:hRule="exac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5" w:hRule="exac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99 - Encargos Especiais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9901.2808450000 0.007 Devolução de Recursos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3390.93.00.00.00 Indenizações e Restituições - Rec. 1010 - Brasil Carinhoso - Apoio a Creches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33,64</w:t>
            </w:r>
          </w:p>
        </w:tc>
      </w:tr>
      <w:tr>
        <w:trPr>
          <w:trHeight w:val="315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3390.93.00.00.00 Indenizações e Restituições - Rec. 1059 - Lei Aldir Blanc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7.106,97</w:t>
            </w:r>
          </w:p>
        </w:tc>
      </w:tr>
      <w:tr>
        <w:trPr>
          <w:trHeight w:val="630" w:hRule="atLeas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4490.93.00.00.00 Indenizações e Restituições – Rec. 1040 - Patr. Agrícola - Conv. 801443/2014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7.503,46</w:t>
            </w:r>
          </w:p>
        </w:tc>
      </w:tr>
      <w:tr>
        <w:trPr>
          <w:trHeight w:val="105" w:hRule="exact"/>
        </w:trPr>
        <w:tc>
          <w:tcPr>
            <w:tcW w:w="72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724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DE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CRÉDITOS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172.596,62</w:t>
            </w:r>
          </w:p>
        </w:tc>
      </w:tr>
    </w:tbl>
    <w:p>
      <w:pPr>
        <w:pStyle w:val="Corpodotexto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2.º Para cobertura deste Crédito Especial fica autorizada a utilização de </w:t>
      </w:r>
      <w:r>
        <w:rPr>
          <w:rFonts w:ascii="Times New Roman" w:hAnsi="Times New Roman"/>
          <w:i/>
          <w:sz w:val="24"/>
          <w:szCs w:val="24"/>
        </w:rPr>
        <w:t>Superavit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Financeiro de Exercício Anterior</w:t>
      </w:r>
      <w:r>
        <w:rPr>
          <w:rFonts w:ascii="Times New Roman" w:hAnsi="Times New Roman"/>
          <w:sz w:val="24"/>
          <w:szCs w:val="24"/>
        </w:rPr>
        <w:t xml:space="preserve">, de diversas fontes específicas, conforme autoriza o Art. 43 § 1º da Lei Federal nº 4.320/64 de 17 de março de 1964, no valor total de </w:t>
      </w:r>
      <w:r>
        <w:rPr>
          <w:rFonts w:ascii="Times New Roman" w:hAnsi="Times New Roman"/>
          <w:b/>
          <w:bCs/>
          <w:sz w:val="24"/>
          <w:szCs w:val="24"/>
        </w:rPr>
        <w:t>R$ 172.596.62</w:t>
      </w:r>
      <w:r>
        <w:rPr>
          <w:rFonts w:ascii="Times New Roman" w:hAnsi="Times New Roman"/>
          <w:sz w:val="24"/>
          <w:szCs w:val="24"/>
        </w:rPr>
        <w:t xml:space="preserve"> (cento e setenta e dois mil, quinhentos e noventa e seis reais e sessenta e dois centavos).</w:t>
      </w:r>
    </w:p>
    <w:p>
      <w:pPr>
        <w:pStyle w:val="Normal"/>
        <w:spacing w:lineRule="auto" w:line="240" w:before="0" w:after="0"/>
        <w:ind w:right="14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3.º Altera o que couber as seguintes Leis Municipais: n.º 4.597/2017, de 16 de agosto de 2017; n.º 4.942/20, de 06 de outubro e n.º 4.956/20, de 16 de dezembro.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Art. 4.º Esta Lei entra em vigor na data de sua publicação.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Santa Bárbara do Sul,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pt-BR" w:eastAsia="en-US" w:bidi="ar-SA"/>
        </w:rPr>
        <w:t>julho</w:t>
      </w:r>
      <w:r>
        <w:rPr>
          <w:rFonts w:cs="Times New Roman" w:ascii="Times New Roman" w:hAnsi="Times New Roman"/>
          <w:sz w:val="24"/>
          <w:szCs w:val="24"/>
        </w:rPr>
        <w:t xml:space="preserve"> de 2021.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Mário Roberto Utzig Filho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Prefeito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/>
        <w:drawing>
          <wp:anchor behindDoc="1" distT="114300" distB="114300" distL="114300" distR="114300" simplePos="0" locked="0" layoutInCell="0" allowOverlap="1" relativeHeight="6">
            <wp:simplePos x="0" y="0"/>
            <wp:positionH relativeFrom="page">
              <wp:posOffset>1079500</wp:posOffset>
            </wp:positionH>
            <wp:positionV relativeFrom="page">
              <wp:posOffset>9594850</wp:posOffset>
            </wp:positionV>
            <wp:extent cx="5399405" cy="901700"/>
            <wp:effectExtent l="0" t="0" r="0" b="0"/>
            <wp:wrapSquare wrapText="bothSides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3" t="0" r="7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1417" w:bottom="196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3">
          <wp:simplePos x="0" y="0"/>
          <wp:positionH relativeFrom="page">
            <wp:posOffset>1079500</wp:posOffset>
          </wp:positionH>
          <wp:positionV relativeFrom="page">
            <wp:posOffset>9594850</wp:posOffset>
          </wp:positionV>
          <wp:extent cx="5399405" cy="901700"/>
          <wp:effectExtent l="0" t="0" r="0" b="0"/>
          <wp:wrapSquare wrapText="bothSides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" t="0" r="73" b="0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5400040" cy="1047750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36d1d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d285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d285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36d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d28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d28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pPr>
      <w:ind w:left="4248" w:hanging="0"/>
      <w:jc w:val="both"/>
    </w:pPr>
    <w:rPr>
      <w:rFonts w:ascii="Times New Roman" w:hAnsi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LibreOffice/7.1.2.2$Windows_X86_64 LibreOffice_project/8a45595d069ef5570103caea1b71cc9d82b2aae4</Application>
  <AppVersion>15.0000</AppVersion>
  <Pages>4</Pages>
  <Words>419</Words>
  <Characters>2302</Characters>
  <CharactersWithSpaces>2693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2021-06-15T15:28:00Z</dcterms:created>
  <dc:creator>CARLOS MERI GONÇALVES</dc:creator>
  <dc:description/>
  <dc:language>pt-BR</dc:language>
  <cp:lastModifiedBy/>
  <cp:lastPrinted>2021-07-13T08:00:55Z</cp:lastPrinted>
  <dcterms:modified xsi:type="dcterms:W3CDTF">2021-07-13T08:03:36Z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